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C7" w:rsidRPr="000A04AD" w:rsidRDefault="007817F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A04AD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Лекция 11. </w:t>
      </w:r>
      <w:r w:rsidRPr="000A04AD">
        <w:rPr>
          <w:rFonts w:ascii="Times New Roman" w:eastAsia="Calibri" w:hAnsi="Times New Roman" w:cs="Times New Roman"/>
          <w:b/>
          <w:sz w:val="24"/>
          <w:szCs w:val="24"/>
        </w:rPr>
        <w:t>Роль фондовых индексов как индикаторов рынка ценных бумаг. Методика расчета фондовых индексов</w:t>
      </w:r>
    </w:p>
    <w:p w:rsidR="00A659FC" w:rsidRPr="000A04AD" w:rsidRDefault="00A659F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A04AD">
        <w:rPr>
          <w:rFonts w:ascii="Times New Roman" w:eastAsia="Calibri" w:hAnsi="Times New Roman" w:cs="Times New Roman"/>
          <w:b/>
          <w:sz w:val="24"/>
          <w:szCs w:val="24"/>
        </w:rPr>
        <w:t>Цель: понять роль фо</w:t>
      </w:r>
      <w:bookmarkStart w:id="0" w:name="_GoBack"/>
      <w:bookmarkEnd w:id="0"/>
      <w:r w:rsidRPr="000A04AD">
        <w:rPr>
          <w:rFonts w:ascii="Times New Roman" w:eastAsia="Calibri" w:hAnsi="Times New Roman" w:cs="Times New Roman"/>
          <w:b/>
          <w:sz w:val="24"/>
          <w:szCs w:val="24"/>
        </w:rPr>
        <w:t>ндовых индексов как индикаторов рынка ценных бумаг, ознакомиться с методикой расчета основных фондовых индексов.</w:t>
      </w:r>
    </w:p>
    <w:p w:rsidR="00DB4614" w:rsidRPr="000A04AD" w:rsidRDefault="00DB4614">
      <w:pPr>
        <w:rPr>
          <w:rFonts w:ascii="Times New Roman" w:eastAsia="Calibri" w:hAnsi="Times New Roman" w:cs="Times New Roman"/>
          <w:sz w:val="24"/>
          <w:szCs w:val="24"/>
        </w:rPr>
      </w:pPr>
    </w:p>
    <w:p w:rsidR="00DB4614" w:rsidRPr="000A04AD" w:rsidRDefault="00DB4614" w:rsidP="00DB4614">
      <w:pPr>
        <w:pStyle w:val="a3"/>
        <w:spacing w:before="0" w:beforeAutospacing="0" w:after="0" w:afterAutospacing="0"/>
        <w:ind w:firstLine="567"/>
        <w:jc w:val="both"/>
        <w:textAlignment w:val="baseline"/>
        <w:rPr>
          <w:noProof/>
        </w:rPr>
      </w:pPr>
      <w:r w:rsidRPr="000A04AD">
        <w:rPr>
          <w:shd w:val="clear" w:color="auto" w:fill="FFFFFF"/>
        </w:rPr>
        <w:t>Биржевой индекс (другое название – фондовый индекс) – составной показатель изменения цен определённой группы активов (ценных бумаг, товаров, производных финансовых инструментов) – «индексной корзины».</w:t>
      </w:r>
      <w:r w:rsidRPr="000A04AD">
        <w:rPr>
          <w:noProof/>
        </w:rPr>
        <w:t xml:space="preserve"> </w:t>
      </w:r>
    </w:p>
    <w:p w:rsidR="00DB4614" w:rsidRPr="000A04AD" w:rsidRDefault="00DB4614" w:rsidP="00DB4614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04AD">
        <w:rPr>
          <w:rFonts w:ascii="Times New Roman" w:hAnsi="Times New Roman" w:cs="Times New Roman"/>
          <w:i/>
          <w:sz w:val="24"/>
          <w:szCs w:val="24"/>
        </w:rPr>
        <w:t>Рисунок 1.15 Роль фондовых индексов</w:t>
      </w:r>
    </w:p>
    <w:p w:rsidR="00DB4614" w:rsidRPr="000A04AD" w:rsidRDefault="00DB4614" w:rsidP="00DB4614">
      <w:pPr>
        <w:pStyle w:val="a3"/>
        <w:spacing w:before="0" w:beforeAutospacing="0" w:after="0" w:afterAutospacing="0"/>
        <w:ind w:firstLine="567"/>
        <w:jc w:val="both"/>
        <w:textAlignment w:val="baseline"/>
        <w:rPr>
          <w:noProof/>
        </w:rPr>
      </w:pPr>
    </w:p>
    <w:p w:rsidR="00DB4614" w:rsidRPr="000A04AD" w:rsidRDefault="00DB4614" w:rsidP="00DB4614">
      <w:pPr>
        <w:pStyle w:val="a3"/>
        <w:spacing w:before="0" w:beforeAutospacing="0" w:after="0" w:afterAutospacing="0"/>
        <w:ind w:firstLine="567"/>
        <w:jc w:val="both"/>
        <w:textAlignment w:val="baseline"/>
        <w:rPr>
          <w:highlight w:val="yellow"/>
          <w:shd w:val="clear" w:color="auto" w:fill="FFFFFF"/>
        </w:rPr>
      </w:pPr>
      <w:r w:rsidRPr="000A04AD">
        <w:rPr>
          <w:noProof/>
        </w:rPr>
        <w:drawing>
          <wp:inline distT="0" distB="0" distL="0" distR="0" wp14:anchorId="498B4F12" wp14:editId="00653E09">
            <wp:extent cx="6019800" cy="704850"/>
            <wp:effectExtent l="76200" t="0" r="95250" b="38100"/>
            <wp:docPr id="39" name="Схема 3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DB4614" w:rsidRPr="000A04AD" w:rsidRDefault="00DB4614" w:rsidP="00DB461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0A04AD">
        <w:t>Под диагностической функцией понимается способность системы индексов характеризовать состояние и динамику развития как национальной экономики в целом, так и отдельных ее составляющих.</w:t>
      </w:r>
    </w:p>
    <w:p w:rsidR="00DB4614" w:rsidRPr="000A04AD" w:rsidRDefault="00DB4614" w:rsidP="00DB461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0A04AD">
        <w:t xml:space="preserve">Выполнение индексами индикативной функции предполагает, что наличие объективной оценки ценовой ситуации на фондовом рынке дает точку отсчета для оценки поведения крупных инвестиционных фондов, отдельных инвесторов и портфельных менеджеров. </w:t>
      </w:r>
    </w:p>
    <w:p w:rsidR="00DB4614" w:rsidRPr="000A04AD" w:rsidRDefault="00DB4614" w:rsidP="00DB461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0A04AD">
        <w:t>С помощью индексов, а также таких инструментов фондового рынка, как фьючерсы и опционы, можно осуществлять страхование портфеля ценных бумаг, иными словами, защитить стоимость портфеля в период спада на фондовом рынке. Это особенно важно для управляющих фондами и владельцев крупных пакетов акций. С другой стороны, опционы и фьючерсы активно используются при биржевой игре. В этом проявляется спекулятивная функция фондовых индексов.</w:t>
      </w:r>
    </w:p>
    <w:p w:rsidR="00DB4614" w:rsidRPr="000A04AD" w:rsidRDefault="00DB4614">
      <w:pPr>
        <w:rPr>
          <w:rFonts w:ascii="Times New Roman" w:hAnsi="Times New Roman" w:cs="Times New Roman"/>
          <w:sz w:val="24"/>
          <w:szCs w:val="24"/>
        </w:rPr>
      </w:pPr>
    </w:p>
    <w:p w:rsidR="00237319" w:rsidRPr="000A04AD" w:rsidRDefault="00237319" w:rsidP="00237319">
      <w:pPr>
        <w:spacing w:after="0" w:line="240" w:lineRule="auto"/>
        <w:ind w:left="1068" w:hanging="64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04AD">
        <w:rPr>
          <w:rFonts w:ascii="Times New Roman" w:eastAsia="Times New Roman" w:hAnsi="Times New Roman" w:cs="Times New Roman"/>
          <w:i/>
          <w:sz w:val="24"/>
          <w:szCs w:val="24"/>
        </w:rPr>
        <w:t xml:space="preserve">Методы расчета фондовых </w:t>
      </w:r>
      <w:proofErr w:type="spellStart"/>
      <w:r w:rsidRPr="000A04AD">
        <w:rPr>
          <w:rFonts w:ascii="Times New Roman" w:eastAsia="Times New Roman" w:hAnsi="Times New Roman" w:cs="Times New Roman"/>
          <w:i/>
          <w:sz w:val="24"/>
          <w:szCs w:val="24"/>
        </w:rPr>
        <w:t>инднксов</w:t>
      </w:r>
      <w:proofErr w:type="spellEnd"/>
    </w:p>
    <w:p w:rsidR="00237319" w:rsidRPr="000A04AD" w:rsidRDefault="00237319" w:rsidP="0023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highlight w:val="yello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6"/>
        <w:gridCol w:w="2011"/>
        <w:gridCol w:w="2766"/>
        <w:gridCol w:w="1829"/>
        <w:gridCol w:w="1633"/>
      </w:tblGrid>
      <w:tr w:rsidR="00237319" w:rsidRPr="000A04AD" w:rsidTr="00751107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>Метод расчета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>Пример индекса, рассчитываемого по данному методу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>Формула расчета индекса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>Преимущество метода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>Недостаток метода</w:t>
            </w:r>
          </w:p>
        </w:tc>
      </w:tr>
      <w:tr w:rsidR="00237319" w:rsidRPr="000A04AD" w:rsidTr="00751107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>простой средней арифметической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>индекс Доу—Джонса</w:t>
            </w:r>
          </w:p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04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индекс </w:t>
            </w:r>
            <w:r w:rsidRPr="000A04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Nikkei</w:t>
            </w:r>
            <w:r w:rsidRPr="000A04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A04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Dow</w:t>
            </w:r>
            <w:r w:rsidRPr="000A04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A04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Jones</w:t>
            </w:r>
            <w:r w:rsidRPr="000A04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A04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Average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NewRoman" w:hAnsi="Cambria Math" w:cs="Times New Roman"/>
                    <w:sz w:val="24"/>
                    <w:szCs w:val="24"/>
                  </w:rPr>
                  <m:t>J=</m:t>
                </m:r>
                <m:f>
                  <m:fPr>
                    <m:ctrlPr>
                      <w:rPr>
                        <w:rFonts w:ascii="Cambria Math" w:eastAsia="TimesNew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New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eastAsia="TimesNew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NewRoman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TimesNewRoman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</m:nary>
                  </m:num>
                  <m:den>
                    <m:r>
                      <w:rPr>
                        <w:rFonts w:ascii="Cambria Math" w:eastAsia="TimesNewRoman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</m:oMath>
            </m:oMathPara>
          </w:p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237319" w:rsidRPr="000A04AD" w:rsidRDefault="00237319" w:rsidP="0075110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где  </w:t>
            </w:r>
            <w:r w:rsidRPr="000A04AD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J</w:t>
            </w:r>
            <w:proofErr w:type="gramEnd"/>
            <w:r w:rsidRPr="000A04AD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 xml:space="preserve"> — </w:t>
            </w: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>индекс;</w:t>
            </w:r>
          </w:p>
          <w:p w:rsidR="00237319" w:rsidRPr="000A04AD" w:rsidRDefault="00237319" w:rsidP="0075110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04AD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 xml:space="preserve">PI — </w:t>
            </w: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цена одной акции </w:t>
            </w:r>
            <w:r w:rsidRPr="000A04AD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i</w:t>
            </w: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>-той компании;</w:t>
            </w:r>
          </w:p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04AD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 xml:space="preserve">N — </w:t>
            </w: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>делитель, равный в момент начала расчета индекса числу компаний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>простота расчета</w:t>
            </w:r>
          </w:p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04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высокая скорость реакции на значительные колебания рынка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>не учитывается реальный масштаб рынка акций</w:t>
            </w:r>
          </w:p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237319" w:rsidRPr="000A04AD" w:rsidTr="00751107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>средней геометрической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val="en-US"/>
              </w:rPr>
            </w:pP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>композитный</w:t>
            </w: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>индекс</w:t>
            </w: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>Вэлью</w:t>
            </w:r>
            <w:proofErr w:type="spellEnd"/>
            <w:r w:rsidRPr="000A04AD">
              <w:rPr>
                <w:rFonts w:ascii="Times New Roman" w:eastAsia="TimesNew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A04AD">
              <w:rPr>
                <w:rFonts w:ascii="Times New Roman" w:eastAsia="TimesNewRoman" w:hAnsi="Times New Roman" w:cs="Times New Roman"/>
                <w:sz w:val="24"/>
                <w:szCs w:val="24"/>
                <w:lang w:val="en-US"/>
              </w:rPr>
              <w:t>» (Value Line Composite Average)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NewRoman" w:hAnsi="Cambria Math" w:cs="Times New Roman"/>
                    <w:sz w:val="24"/>
                    <w:szCs w:val="24"/>
                  </w:rPr>
                  <m:t xml:space="preserve">J= </m:t>
                </m:r>
                <m:rad>
                  <m:radPr>
                    <m:ctrlPr>
                      <w:rPr>
                        <w:rFonts w:ascii="Cambria Math" w:eastAsia="TimesNewRoman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eastAsia="TimesNewRoman" w:hAnsi="Cambria Math" w:cs="Times New Roman"/>
                        <w:sz w:val="24"/>
                        <w:szCs w:val="24"/>
                      </w:rPr>
                      <m:t>n</m:t>
                    </m:r>
                  </m:deg>
                  <m:e>
                    <m:sSub>
                      <m:sSubPr>
                        <m:ctrlPr>
                          <w:rPr>
                            <w:rFonts w:ascii="Cambria Math" w:eastAsia="TimesNewRoman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NewRoman" w:hAnsi="Cambria Math" w:cs="Times New Roman"/>
                            <w:sz w:val="24"/>
                            <w:szCs w:val="24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eastAsia="TimesNew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NewRoman" w:hAnsi="Cambria Math" w:cs="Times New Roman"/>
                        <w:sz w:val="24"/>
                        <w:szCs w:val="24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eastAsia="TimesNewRoman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NewRoman" w:hAnsi="Cambria Math" w:cs="Times New Roman"/>
                            <w:sz w:val="24"/>
                            <w:szCs w:val="24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eastAsia="TimesNew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NewRoman" w:hAnsi="Cambria Math" w:cs="Times New Roman"/>
                        <w:sz w:val="24"/>
                        <w:szCs w:val="24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eastAsia="TimesNewRoman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NewRoman" w:hAnsi="Cambria Math" w:cs="Times New Roman"/>
                            <w:sz w:val="24"/>
                            <w:szCs w:val="24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eastAsia="TimesNewRoman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="TimesNewRoman" w:hAnsi="Cambria Math" w:cs="Times New Roman"/>
                        <w:sz w:val="24"/>
                        <w:szCs w:val="24"/>
                      </w:rPr>
                      <m:t>×…×</m:t>
                    </m:r>
                    <m:sSub>
                      <m:sSubPr>
                        <m:ctrlPr>
                          <w:rPr>
                            <w:rFonts w:ascii="Cambria Math" w:eastAsia="TimesNewRoman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NewRoman" w:hAnsi="Cambria Math" w:cs="Times New Roman"/>
                            <w:sz w:val="24"/>
                            <w:szCs w:val="24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eastAsia="TimesNewRoman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e>
                </m:rad>
              </m:oMath>
            </m:oMathPara>
          </w:p>
          <w:p w:rsidR="00237319" w:rsidRPr="000A04AD" w:rsidRDefault="00237319" w:rsidP="00751107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237319" w:rsidRPr="000A04AD" w:rsidRDefault="00237319" w:rsidP="00751107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где </w:t>
            </w:r>
            <w:r w:rsidRPr="000A04AD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 xml:space="preserve">J — </w:t>
            </w: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>сводный индекс;</w:t>
            </w:r>
          </w:p>
          <w:p w:rsidR="00237319" w:rsidRPr="000A04AD" w:rsidRDefault="00237319" w:rsidP="00751107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04AD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J</w:t>
            </w: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1, </w:t>
            </w:r>
            <w:r w:rsidRPr="000A04AD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J</w:t>
            </w: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2 ..., </w:t>
            </w:r>
            <w:proofErr w:type="spellStart"/>
            <w:r w:rsidRPr="000A04AD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J</w:t>
            </w: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>n</w:t>
            </w:r>
            <w:proofErr w:type="spellEnd"/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— темп роста курсовой стоимости акций </w:t>
            </w: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компаний (индивидуальные индексы);</w:t>
            </w:r>
          </w:p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04AD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п</w:t>
            </w: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>— число компаний в выборке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04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учитывает темпы роста цен на акции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>не учитывается объем торговли акциями эмитентов и масштабы компаний</w:t>
            </w:r>
          </w:p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237319" w:rsidRPr="000A04AD" w:rsidTr="00751107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средней арифметической взвешенной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сводный и отраслевые </w:t>
            </w:r>
            <w:proofErr w:type="gramStart"/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>индексы  S</w:t>
            </w:r>
            <w:proofErr w:type="gramEnd"/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&amp; Р, сводный индекс Нью-Йоркской фондовой биржи, индексы системы NASDAQ, индекс Американской фондовой биржи, индекс «Уилшир-5000»</w:t>
            </w:r>
          </w:p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04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FT-SE 100</w:t>
            </w:r>
          </w:p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04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DAX</w:t>
            </w:r>
          </w:p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04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классический индекс TOPIX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NewRoman" w:hAnsi="Cambria Math" w:cs="Times New Roman"/>
                    <w:sz w:val="24"/>
                    <w:szCs w:val="24"/>
                  </w:rPr>
                  <m:t>J=</m:t>
                </m:r>
                <m:f>
                  <m:fPr>
                    <m:ctrlPr>
                      <w:rPr>
                        <w:rFonts w:ascii="Cambria Math" w:eastAsia="TimesNew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="TimesNew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NewRoman" w:hAnsi="Cambria Math" w:cs="Times New Roman"/>
                            <w:sz w:val="24"/>
                            <w:szCs w:val="24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eastAsia="TimesNewRoman" w:hAnsi="Cambria Math" w:cs="Times New Roman"/>
                            <w:sz w:val="24"/>
                            <w:szCs w:val="24"/>
                          </w:rPr>
                          <m:t>n</m:t>
                        </m:r>
                      </m:sup>
                      <m:e>
                        <m:sSubSup>
                          <m:sSubSupPr>
                            <m:ctrlPr>
                              <w:rPr>
                                <w:rFonts w:ascii="Cambria Math" w:eastAsia="TimesNew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NewRoman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TimesNewRoman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eastAsia="TimesNewRoman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p>
                        </m:sSubSup>
                        <m:r>
                          <w:rPr>
                            <w:rFonts w:ascii="Cambria Math" w:eastAsia="TimesNewRoman" w:hAnsi="Cambria Math" w:cs="Times New Roman"/>
                            <w:sz w:val="24"/>
                            <w:szCs w:val="24"/>
                          </w:rPr>
                          <m:t>×</m:t>
                        </m:r>
                        <m:sSubSup>
                          <m:sSubSupPr>
                            <m:ctrlPr>
                              <w:rPr>
                                <w:rFonts w:ascii="Cambria Math" w:eastAsia="TimesNew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NewRoman" w:hAnsi="Cambria Math" w:cs="Times New Roman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eastAsia="TimesNewRoman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eastAsia="TimesNewRoman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p>
                        </m:sSubSup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="TimesNew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NewRoman" w:hAnsi="Cambria Math" w:cs="Times New Roman"/>
                            <w:sz w:val="24"/>
                            <w:szCs w:val="24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eastAsia="TimesNewRoman" w:hAnsi="Cambria Math" w:cs="Times New Roman"/>
                            <w:sz w:val="24"/>
                            <w:szCs w:val="24"/>
                          </w:rPr>
                          <m:t>n</m:t>
                        </m:r>
                      </m:sup>
                      <m:e>
                        <m:sSubSup>
                          <m:sSubSupPr>
                            <m:ctrlPr>
                              <w:rPr>
                                <w:rFonts w:ascii="Cambria Math" w:eastAsia="TimesNew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NewRoman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TimesNewRoman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eastAsia="TimesNewRoman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p>
                        </m:sSubSup>
                        <m:r>
                          <w:rPr>
                            <w:rFonts w:ascii="Cambria Math" w:eastAsia="TimesNewRoman" w:hAnsi="Cambria Math" w:cs="Times New Roman"/>
                            <w:sz w:val="24"/>
                            <w:szCs w:val="24"/>
                          </w:rPr>
                          <m:t>×</m:t>
                        </m:r>
                        <m:sSubSup>
                          <m:sSubSupPr>
                            <m:ctrlPr>
                              <w:rPr>
                                <w:rFonts w:ascii="Cambria Math" w:eastAsia="TimesNew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NewRoman" w:hAnsi="Cambria Math" w:cs="Times New Roman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eastAsia="TimesNewRoman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eastAsia="TimesNewRoman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p>
                        </m:sSubSup>
                      </m:e>
                    </m:nary>
                  </m:den>
                </m:f>
                <m:r>
                  <w:rPr>
                    <w:rFonts w:ascii="Cambria Math" w:eastAsia="TimesNewRoman" w:hAnsi="Cambria Math" w:cs="Times New Roman"/>
                    <w:sz w:val="24"/>
                    <w:szCs w:val="24"/>
                  </w:rPr>
                  <m:t>×K</m:t>
                </m:r>
              </m:oMath>
            </m:oMathPara>
          </w:p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237319" w:rsidRPr="000A04AD" w:rsidRDefault="00237319" w:rsidP="00751107">
            <w:pPr>
              <w:autoSpaceDE w:val="0"/>
              <w:autoSpaceDN w:val="0"/>
              <w:adjustRightInd w:val="0"/>
              <w:ind w:firstLine="426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где, </w:t>
            </w:r>
            <m:oMath>
              <m:sSubSup>
                <m:sSubSupPr>
                  <m:ctrlPr>
                    <w:rPr>
                      <w:rFonts w:ascii="Cambria Math" w:eastAsia="TimesNewRoman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="TimesNewRoman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="TimesNewRoman" w:hAnsi="Cambria Math" w:cs="Times New Roman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eastAsia="TimesNewRoman" w:hAnsi="Cambria Math" w:cs="Times New Roman"/>
                      <w:sz w:val="24"/>
                      <w:szCs w:val="24"/>
                    </w:rPr>
                    <m:t>0</m:t>
                  </m:r>
                </m:sup>
              </m:sSubSup>
            </m:oMath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и </w:t>
            </w:r>
            <m:oMath>
              <m:sSubSup>
                <m:sSubSupPr>
                  <m:ctrlPr>
                    <w:rPr>
                      <w:rFonts w:ascii="Cambria Math" w:eastAsia="TimesNewRoman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="TimesNewRoman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="TimesNewRoman" w:hAnsi="Cambria Math" w:cs="Times New Roman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eastAsia="TimesNewRoman" w:hAnsi="Cambria Math" w:cs="Times New Roman"/>
                      <w:sz w:val="24"/>
                      <w:szCs w:val="24"/>
                    </w:rPr>
                    <m:t>1</m:t>
                  </m:r>
                </m:sup>
              </m:sSubSup>
            </m:oMath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– цена акций i-той компании в базовом и отчетном периоде;</w:t>
            </w:r>
          </w:p>
          <w:p w:rsidR="00237319" w:rsidRPr="000A04AD" w:rsidRDefault="000A04AD" w:rsidP="00751107">
            <w:pPr>
              <w:autoSpaceDE w:val="0"/>
              <w:autoSpaceDN w:val="0"/>
              <w:adjustRightInd w:val="0"/>
              <w:ind w:firstLine="426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eastAsia="TimesNewRoman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="TimesNewRoman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NewRoman" w:hAnsi="Cambria Math" w:cs="Times New Roman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eastAsia="TimesNewRoman" w:hAnsi="Cambria Math" w:cs="Times New Roman"/>
                      <w:sz w:val="24"/>
                      <w:szCs w:val="24"/>
                    </w:rPr>
                    <m:t>0</m:t>
                  </m:r>
                </m:sup>
              </m:sSubSup>
            </m:oMath>
            <w:r w:rsidR="00237319"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и </w:t>
            </w:r>
            <m:oMath>
              <m:sSubSup>
                <m:sSubSupPr>
                  <m:ctrlPr>
                    <w:rPr>
                      <w:rFonts w:ascii="Cambria Math" w:eastAsia="TimesNewRoman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="TimesNewRoman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NewRoman" w:hAnsi="Cambria Math" w:cs="Times New Roman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eastAsia="TimesNewRoman" w:hAnsi="Cambria Math" w:cs="Times New Roman"/>
                      <w:sz w:val="24"/>
                      <w:szCs w:val="24"/>
                    </w:rPr>
                    <m:t>1</m:t>
                  </m:r>
                </m:sup>
              </m:sSubSup>
            </m:oMath>
            <w:r w:rsidR="00237319"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– количество акций в обращении в базовом и отчетном периоде;</w:t>
            </w:r>
          </w:p>
          <w:p w:rsidR="00237319" w:rsidRPr="000A04AD" w:rsidRDefault="00237319" w:rsidP="00751107">
            <w:pPr>
              <w:autoSpaceDE w:val="0"/>
              <w:autoSpaceDN w:val="0"/>
              <w:adjustRightInd w:val="0"/>
              <w:ind w:firstLine="426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>i= 1,2,3, …, n – количество компаний в выборке;</w:t>
            </w:r>
          </w:p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04AD"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  <w:t xml:space="preserve">К </w:t>
            </w: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>– базовое значение индекса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A04AD">
              <w:rPr>
                <w:rFonts w:ascii="Times New Roman" w:eastAsia="TimesNewRoman" w:hAnsi="Times New Roman" w:cs="Times New Roman"/>
                <w:sz w:val="24"/>
                <w:szCs w:val="24"/>
              </w:rPr>
              <w:t>учитываются размер компании и масштабы совершения операций на фондовом рынке</w:t>
            </w:r>
          </w:p>
          <w:p w:rsidR="00237319" w:rsidRPr="000A04AD" w:rsidRDefault="00237319" w:rsidP="00751107">
            <w:pPr>
              <w:pStyle w:val="a3"/>
              <w:ind w:left="225"/>
              <w:jc w:val="both"/>
              <w:rPr>
                <w:rFonts w:eastAsia="TimesNewRoman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19" w:rsidRPr="000A04AD" w:rsidRDefault="00237319" w:rsidP="0075110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</w:tbl>
    <w:p w:rsidR="00237319" w:rsidRPr="000A04AD" w:rsidRDefault="00237319">
      <w:pPr>
        <w:rPr>
          <w:rFonts w:ascii="Times New Roman" w:hAnsi="Times New Roman" w:cs="Times New Roman"/>
          <w:sz w:val="24"/>
          <w:szCs w:val="24"/>
        </w:rPr>
      </w:pPr>
    </w:p>
    <w:p w:rsidR="0048295C" w:rsidRPr="000A04AD" w:rsidRDefault="0048295C">
      <w:pPr>
        <w:rPr>
          <w:rFonts w:ascii="Times New Roman" w:hAnsi="Times New Roman" w:cs="Times New Roman"/>
          <w:b/>
          <w:sz w:val="24"/>
          <w:szCs w:val="24"/>
        </w:rPr>
      </w:pPr>
      <w:r w:rsidRPr="000A04AD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48295C" w:rsidRPr="000A04AD" w:rsidRDefault="0048295C" w:rsidP="0048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AD">
        <w:rPr>
          <w:rFonts w:ascii="Times New Roman" w:eastAsia="Times New Roman" w:hAnsi="Times New Roman" w:cs="Times New Roman"/>
          <w:sz w:val="24"/>
          <w:szCs w:val="24"/>
        </w:rPr>
        <w:t>1. В чем заключаются преимущества и недостатки методов расчета фондовых индексов?</w:t>
      </w:r>
    </w:p>
    <w:p w:rsidR="0048295C" w:rsidRPr="000A04AD" w:rsidRDefault="0048295C" w:rsidP="0048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4AD">
        <w:rPr>
          <w:rFonts w:ascii="Times New Roman" w:eastAsia="Times New Roman" w:hAnsi="Times New Roman" w:cs="Times New Roman"/>
          <w:sz w:val="24"/>
          <w:szCs w:val="24"/>
        </w:rPr>
        <w:t xml:space="preserve">2. Охарактеризуйте функции фондовых индексов. На примере динамики одного </w:t>
      </w:r>
      <w:proofErr w:type="gramStart"/>
      <w:r w:rsidRPr="000A04AD">
        <w:rPr>
          <w:rFonts w:ascii="Times New Roman" w:eastAsia="Times New Roman" w:hAnsi="Times New Roman" w:cs="Times New Roman"/>
          <w:sz w:val="24"/>
          <w:szCs w:val="24"/>
        </w:rPr>
        <w:t>из низ</w:t>
      </w:r>
      <w:proofErr w:type="gramEnd"/>
      <w:r w:rsidRPr="000A04AD">
        <w:rPr>
          <w:rFonts w:ascii="Times New Roman" w:eastAsia="Times New Roman" w:hAnsi="Times New Roman" w:cs="Times New Roman"/>
          <w:sz w:val="24"/>
          <w:szCs w:val="24"/>
        </w:rPr>
        <w:t xml:space="preserve"> них за последний месяц объясните особенности его изменения</w:t>
      </w:r>
      <w:r w:rsidR="00810C3C" w:rsidRPr="000A04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0C3C" w:rsidRPr="000A04AD" w:rsidRDefault="00810C3C" w:rsidP="00810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4AD">
        <w:rPr>
          <w:rFonts w:ascii="Times New Roman" w:hAnsi="Times New Roman" w:cs="Times New Roman"/>
          <w:sz w:val="24"/>
          <w:szCs w:val="24"/>
        </w:rPr>
        <w:t>3. Как соотносится уровень развития рынка ценных бумаг и экономики? Существует ли прямая взаимосвязь?</w:t>
      </w:r>
    </w:p>
    <w:p w:rsidR="00810C3C" w:rsidRPr="000A04AD" w:rsidRDefault="00810C3C" w:rsidP="0048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077" w:rsidRPr="000A04AD" w:rsidRDefault="00A03077" w:rsidP="00482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04AD">
        <w:rPr>
          <w:rFonts w:ascii="Times New Roman" w:eastAsia="Times New Roman" w:hAnsi="Times New Roman" w:cs="Times New Roman"/>
          <w:b/>
          <w:sz w:val="24"/>
          <w:szCs w:val="24"/>
        </w:rPr>
        <w:t>Рекомендуемая литература:</w:t>
      </w:r>
    </w:p>
    <w:p w:rsidR="00A25CF9" w:rsidRPr="000A04AD" w:rsidRDefault="00A25CF9" w:rsidP="00A25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04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Алексеева Е. В., </w:t>
      </w:r>
      <w:proofErr w:type="spellStart"/>
      <w:r w:rsidRPr="000A04AD">
        <w:rPr>
          <w:rFonts w:ascii="Times New Roman" w:hAnsi="Times New Roman" w:cs="Times New Roman"/>
          <w:sz w:val="24"/>
          <w:szCs w:val="24"/>
          <w:shd w:val="clear" w:color="auto" w:fill="FFFFFF"/>
        </w:rPr>
        <w:t>Мурадова</w:t>
      </w:r>
      <w:proofErr w:type="spellEnd"/>
      <w:r w:rsidRPr="000A04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 Ш. Рынок ценных бумаг; Феникс - Москва,</w:t>
      </w:r>
      <w:r w:rsidRPr="000A04A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A04AD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2014</w:t>
      </w:r>
      <w:r w:rsidRPr="000A04AD">
        <w:rPr>
          <w:rFonts w:ascii="Times New Roman" w:hAnsi="Times New Roman" w:cs="Times New Roman"/>
          <w:sz w:val="24"/>
          <w:szCs w:val="24"/>
          <w:shd w:val="clear" w:color="auto" w:fill="FFFFFF"/>
        </w:rPr>
        <w:t>. - 336 c.</w:t>
      </w:r>
    </w:p>
    <w:p w:rsidR="00A25CF9" w:rsidRPr="000A04AD" w:rsidRDefault="00A25CF9" w:rsidP="00A25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04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Алехин Б. И. Рынок ценных бумаг; </w:t>
      </w:r>
      <w:proofErr w:type="spellStart"/>
      <w:r w:rsidRPr="000A04AD">
        <w:rPr>
          <w:rFonts w:ascii="Times New Roman" w:hAnsi="Times New Roman" w:cs="Times New Roman"/>
          <w:sz w:val="24"/>
          <w:szCs w:val="24"/>
          <w:shd w:val="clear" w:color="auto" w:fill="FFFFFF"/>
        </w:rPr>
        <w:t>Юнити</w:t>
      </w:r>
      <w:proofErr w:type="spellEnd"/>
      <w:r w:rsidRPr="000A04AD">
        <w:rPr>
          <w:rFonts w:ascii="Times New Roman" w:hAnsi="Times New Roman" w:cs="Times New Roman"/>
          <w:sz w:val="24"/>
          <w:szCs w:val="24"/>
          <w:shd w:val="clear" w:color="auto" w:fill="FFFFFF"/>
        </w:rPr>
        <w:t>-Дана - Москва,</w:t>
      </w:r>
      <w:r w:rsidRPr="000A04A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A04AD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2011</w:t>
      </w:r>
      <w:r w:rsidRPr="000A04AD">
        <w:rPr>
          <w:rFonts w:ascii="Times New Roman" w:hAnsi="Times New Roman" w:cs="Times New Roman"/>
          <w:sz w:val="24"/>
          <w:szCs w:val="24"/>
          <w:shd w:val="clear" w:color="auto" w:fill="FFFFFF"/>
        </w:rPr>
        <w:t>. - 464 c.</w:t>
      </w:r>
    </w:p>
    <w:p w:rsidR="00A25CF9" w:rsidRPr="000A04AD" w:rsidRDefault="00A25CF9" w:rsidP="00A25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04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Ершов В. А. Рынок ценных бумаг; </w:t>
      </w:r>
      <w:proofErr w:type="spellStart"/>
      <w:r w:rsidRPr="000A04AD">
        <w:rPr>
          <w:rFonts w:ascii="Times New Roman" w:hAnsi="Times New Roman" w:cs="Times New Roman"/>
          <w:sz w:val="24"/>
          <w:szCs w:val="24"/>
          <w:shd w:val="clear" w:color="auto" w:fill="FFFFFF"/>
        </w:rPr>
        <w:t>ГроссМедиа</w:t>
      </w:r>
      <w:proofErr w:type="spellEnd"/>
      <w:r w:rsidRPr="000A04AD">
        <w:rPr>
          <w:rFonts w:ascii="Times New Roman" w:hAnsi="Times New Roman" w:cs="Times New Roman"/>
          <w:sz w:val="24"/>
          <w:szCs w:val="24"/>
          <w:shd w:val="clear" w:color="auto" w:fill="FFFFFF"/>
        </w:rPr>
        <w:t>, РОСБУХ - Москва,</w:t>
      </w:r>
      <w:r w:rsidRPr="000A04A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A04AD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2011</w:t>
      </w:r>
      <w:r w:rsidRPr="000A04AD">
        <w:rPr>
          <w:rFonts w:ascii="Times New Roman" w:hAnsi="Times New Roman" w:cs="Times New Roman"/>
          <w:sz w:val="24"/>
          <w:szCs w:val="24"/>
          <w:shd w:val="clear" w:color="auto" w:fill="FFFFFF"/>
        </w:rPr>
        <w:t>. - 424 c</w:t>
      </w:r>
    </w:p>
    <w:p w:rsidR="00A25CF9" w:rsidRPr="000A04AD" w:rsidRDefault="00A25CF9" w:rsidP="00A25C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04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Pr="000A04A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0A04AD">
        <w:rPr>
          <w:rFonts w:ascii="Times New Roman" w:hAnsi="Times New Roman" w:cs="Times New Roman"/>
          <w:sz w:val="24"/>
          <w:szCs w:val="24"/>
          <w:shd w:val="clear" w:color="auto" w:fill="FFFFFF"/>
        </w:rPr>
        <w:t>Килячков</w:t>
      </w:r>
      <w:proofErr w:type="spellEnd"/>
      <w:r w:rsidRPr="000A04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 А., </w:t>
      </w:r>
      <w:proofErr w:type="spellStart"/>
      <w:r w:rsidRPr="000A04AD">
        <w:rPr>
          <w:rFonts w:ascii="Times New Roman" w:hAnsi="Times New Roman" w:cs="Times New Roman"/>
          <w:sz w:val="24"/>
          <w:szCs w:val="24"/>
          <w:shd w:val="clear" w:color="auto" w:fill="FFFFFF"/>
        </w:rPr>
        <w:t>Чалдаева</w:t>
      </w:r>
      <w:proofErr w:type="spellEnd"/>
      <w:r w:rsidRPr="000A04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Л. А. Рынок ценных бумаг; </w:t>
      </w:r>
      <w:proofErr w:type="spellStart"/>
      <w:r w:rsidRPr="000A04AD">
        <w:rPr>
          <w:rFonts w:ascii="Times New Roman" w:hAnsi="Times New Roman" w:cs="Times New Roman"/>
          <w:sz w:val="24"/>
          <w:szCs w:val="24"/>
          <w:shd w:val="clear" w:color="auto" w:fill="FFFFFF"/>
        </w:rPr>
        <w:t>Экономистъ</w:t>
      </w:r>
      <w:proofErr w:type="spellEnd"/>
      <w:r w:rsidRPr="000A04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Москва,</w:t>
      </w:r>
      <w:r w:rsidRPr="000A04A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A04AD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2011</w:t>
      </w:r>
      <w:r w:rsidRPr="000A04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- </w:t>
      </w:r>
      <w:r w:rsidRPr="000A04AD">
        <w:rPr>
          <w:rFonts w:ascii="Times New Roman" w:hAnsi="Times New Roman" w:cs="Times New Roman"/>
          <w:sz w:val="24"/>
          <w:szCs w:val="24"/>
          <w:shd w:val="clear" w:color="auto" w:fill="FFFFFF"/>
        </w:rPr>
        <w:t>688 c.</w:t>
      </w:r>
      <w:r w:rsidRPr="000A04AD">
        <w:rPr>
          <w:rFonts w:ascii="Times New Roman" w:hAnsi="Times New Roman" w:cs="Times New Roman"/>
          <w:sz w:val="24"/>
          <w:szCs w:val="24"/>
        </w:rPr>
        <w:br/>
      </w:r>
      <w:r w:rsidRPr="000A04AD">
        <w:rPr>
          <w:rFonts w:ascii="Times New Roman" w:hAnsi="Times New Roman" w:cs="Times New Roman"/>
          <w:sz w:val="24"/>
          <w:szCs w:val="24"/>
          <w:shd w:val="clear" w:color="auto" w:fill="FFFFFF"/>
        </w:rPr>
        <w:t>5. Кирьянов И. В. Рынок ценных бумаг и биржевое дело; Инфра-М - , 2013. - 264 c.</w:t>
      </w:r>
    </w:p>
    <w:p w:rsidR="00A03077" w:rsidRPr="000A04AD" w:rsidRDefault="00A03077" w:rsidP="0048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5C" w:rsidRPr="000A04AD" w:rsidRDefault="0048295C">
      <w:pPr>
        <w:rPr>
          <w:rFonts w:ascii="Times New Roman" w:hAnsi="Times New Roman" w:cs="Times New Roman"/>
          <w:sz w:val="24"/>
          <w:szCs w:val="24"/>
        </w:rPr>
      </w:pPr>
    </w:p>
    <w:sectPr w:rsidR="0048295C" w:rsidRPr="000A04AD" w:rsidSect="000A04A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E31B0"/>
    <w:multiLevelType w:val="hybridMultilevel"/>
    <w:tmpl w:val="FA042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F9"/>
    <w:rsid w:val="000A04AD"/>
    <w:rsid w:val="00237319"/>
    <w:rsid w:val="0048295C"/>
    <w:rsid w:val="00695391"/>
    <w:rsid w:val="007817F9"/>
    <w:rsid w:val="00810C3C"/>
    <w:rsid w:val="00A03077"/>
    <w:rsid w:val="00A25CF9"/>
    <w:rsid w:val="00A659FC"/>
    <w:rsid w:val="00B678C7"/>
    <w:rsid w:val="00DB4614"/>
    <w:rsid w:val="00FD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DFAD9-BCF4-44FD-8070-8766069D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4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37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48295C"/>
    <w:pPr>
      <w:spacing w:after="200" w:line="276" w:lineRule="auto"/>
      <w:ind w:left="720"/>
      <w:contextualSpacing/>
    </w:pPr>
  </w:style>
  <w:style w:type="character" w:styleId="a6">
    <w:name w:val="Strong"/>
    <w:basedOn w:val="a0"/>
    <w:uiPriority w:val="22"/>
    <w:qFormat/>
    <w:rsid w:val="00A25CF9"/>
    <w:rPr>
      <w:b/>
      <w:bCs/>
    </w:rPr>
  </w:style>
  <w:style w:type="character" w:customStyle="1" w:styleId="apple-converted-space">
    <w:name w:val="apple-converted-space"/>
    <w:basedOn w:val="a0"/>
    <w:rsid w:val="00A25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DFFA35-EA88-45E8-9DA2-98B9FD151B23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F277C7FC-23AB-43B4-94B2-51E492B40CDA}">
      <dgm:prSet phldrT="[Текст]" custT="1"/>
      <dgm:spPr>
        <a:xfrm>
          <a:off x="1894991" y="65679"/>
          <a:ext cx="2153617" cy="14400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Функции биржевого индекса </a:t>
          </a:r>
        </a:p>
      </dgm:t>
    </dgm:pt>
    <dgm:pt modelId="{849EC91A-C586-4013-B52F-8927024B67DA}" type="parTrans" cxnId="{E4DCD61D-C7EC-4962-9E08-42AF52FBE2BB}">
      <dgm:prSet/>
      <dgm:spPr/>
      <dgm:t>
        <a:bodyPr/>
        <a:lstStyle/>
        <a:p>
          <a:endParaRPr lang="ru-RU"/>
        </a:p>
      </dgm:t>
    </dgm:pt>
    <dgm:pt modelId="{1E5288A4-DC58-45C2-B6E1-CCF13957039A}" type="sibTrans" cxnId="{E4DCD61D-C7EC-4962-9E08-42AF52FBE2BB}">
      <dgm:prSet/>
      <dgm:spPr/>
      <dgm:t>
        <a:bodyPr/>
        <a:lstStyle/>
        <a:p>
          <a:endParaRPr lang="ru-RU"/>
        </a:p>
      </dgm:t>
    </dgm:pt>
    <dgm:pt modelId="{7B6B8A89-ADA4-48B1-B179-FE7022FBB79E}">
      <dgm:prSet phldrT="[Текст]" custT="1"/>
      <dgm:spPr>
        <a:xfrm>
          <a:off x="3069" y="336712"/>
          <a:ext cx="2346876" cy="302458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Диагностическая</a:t>
          </a:r>
        </a:p>
      </dgm:t>
    </dgm:pt>
    <dgm:pt modelId="{383EC251-FD72-4435-B404-7104AD246CE2}" type="parTrans" cxnId="{159A5687-801B-42DA-B6E8-6A8F59922A5A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xfrm>
          <a:off x="1176507" y="209679"/>
          <a:ext cx="1795292" cy="127032"/>
        </a:xfrm>
        <a:noFill/>
        <a:ln w="9525" cap="flat" cmpd="sng" algn="ctr">
          <a:solidFill>
            <a:sysClr val="windowText" lastClr="000000">
              <a:shade val="95000"/>
              <a:satMod val="10500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DB0CB74B-D0DC-4023-8CEE-CEBE3128085E}" type="sibTrans" cxnId="{159A5687-801B-42DA-B6E8-6A8F59922A5A}">
      <dgm:prSet/>
      <dgm:spPr/>
      <dgm:t>
        <a:bodyPr/>
        <a:lstStyle/>
        <a:p>
          <a:endParaRPr lang="ru-RU"/>
        </a:p>
      </dgm:t>
    </dgm:pt>
    <dgm:pt modelId="{34EAD2DD-7B09-46A3-9629-DDF980792531}">
      <dgm:prSet phldrT="[Текст]" custT="1"/>
      <dgm:spPr>
        <a:xfrm>
          <a:off x="2476978" y="336712"/>
          <a:ext cx="1673489" cy="302458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Индикативная</a:t>
          </a:r>
        </a:p>
      </dgm:t>
    </dgm:pt>
    <dgm:pt modelId="{6D9A32E3-013C-44B2-9866-93053D01D18D}" type="parTrans" cxnId="{176A4BCA-E862-4E5D-8F3A-83EE3E25D059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xfrm>
          <a:off x="2971800" y="209679"/>
          <a:ext cx="341923" cy="127032"/>
        </a:xfrm>
        <a:noFill/>
        <a:ln w="9525" cap="flat" cmpd="sng" algn="ctr">
          <a:solidFill>
            <a:sysClr val="windowText" lastClr="000000">
              <a:shade val="95000"/>
              <a:satMod val="10500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9C8DFC6C-BBDB-4BD1-89A6-A9062652D34A}" type="sibTrans" cxnId="{176A4BCA-E862-4E5D-8F3A-83EE3E25D059}">
      <dgm:prSet/>
      <dgm:spPr/>
      <dgm:t>
        <a:bodyPr/>
        <a:lstStyle/>
        <a:p>
          <a:endParaRPr lang="ru-RU"/>
        </a:p>
      </dgm:t>
    </dgm:pt>
    <dgm:pt modelId="{F77B8E5B-E989-4601-90DE-5ABE578E5634}">
      <dgm:prSet custT="1"/>
      <dgm:spPr>
        <a:xfrm>
          <a:off x="4277500" y="336712"/>
          <a:ext cx="1663030" cy="302458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Спекулятивная</a:t>
          </a:r>
        </a:p>
      </dgm:t>
    </dgm:pt>
    <dgm:pt modelId="{5BB0844D-1027-4D65-BD51-A181B339899C}" type="parTrans" cxnId="{0BF51675-D2C1-4AB9-867F-17ED0FB9FD6E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xfrm>
          <a:off x="2971800" y="209679"/>
          <a:ext cx="2137215" cy="127032"/>
        </a:xfrm>
        <a:noFill/>
        <a:ln w="9525" cap="flat" cmpd="sng" algn="ctr">
          <a:solidFill>
            <a:sysClr val="windowText" lastClr="000000">
              <a:shade val="95000"/>
              <a:satMod val="10500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5F6A672A-9B1B-44BF-B303-3181B9F7B29A}" type="sibTrans" cxnId="{0BF51675-D2C1-4AB9-867F-17ED0FB9FD6E}">
      <dgm:prSet/>
      <dgm:spPr/>
      <dgm:t>
        <a:bodyPr/>
        <a:lstStyle/>
        <a:p>
          <a:endParaRPr lang="ru-RU"/>
        </a:p>
      </dgm:t>
    </dgm:pt>
    <dgm:pt modelId="{310B117A-BA85-4D42-8617-BE50C05ABBCD}" type="pres">
      <dgm:prSet presAssocID="{63DFFA35-EA88-45E8-9DA2-98B9FD151B2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E0F5CCA-8854-440C-BA7A-B9EB4D77B95F}" type="pres">
      <dgm:prSet presAssocID="{F277C7FC-23AB-43B4-94B2-51E492B40CDA}" presName="hierRoot1" presStyleCnt="0">
        <dgm:presLayoutVars>
          <dgm:hierBranch val="init"/>
        </dgm:presLayoutVars>
      </dgm:prSet>
      <dgm:spPr/>
    </dgm:pt>
    <dgm:pt modelId="{02E795F7-8732-45B8-8CFA-1053ACF4CECE}" type="pres">
      <dgm:prSet presAssocID="{F277C7FC-23AB-43B4-94B2-51E492B40CDA}" presName="rootComposite1" presStyleCnt="0"/>
      <dgm:spPr/>
    </dgm:pt>
    <dgm:pt modelId="{AA7FD666-B55F-4E91-9B19-D44A6FE3BF76}" type="pres">
      <dgm:prSet presAssocID="{F277C7FC-23AB-43B4-94B2-51E492B40CDA}" presName="rootText1" presStyleLbl="node0" presStyleIdx="0" presStyleCnt="1" custScaleX="356019" custScaleY="4761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29E4B49-49F1-4536-AE19-96A269105AA9}" type="pres">
      <dgm:prSet presAssocID="{F277C7FC-23AB-43B4-94B2-51E492B40CDA}" presName="rootConnector1" presStyleLbl="node1" presStyleIdx="0" presStyleCnt="0"/>
      <dgm:spPr/>
      <dgm:t>
        <a:bodyPr/>
        <a:lstStyle/>
        <a:p>
          <a:endParaRPr lang="ru-RU"/>
        </a:p>
      </dgm:t>
    </dgm:pt>
    <dgm:pt modelId="{A2C36AA3-1D19-403A-A6F2-78CCFF340472}" type="pres">
      <dgm:prSet presAssocID="{F277C7FC-23AB-43B4-94B2-51E492B40CDA}" presName="hierChild2" presStyleCnt="0"/>
      <dgm:spPr/>
    </dgm:pt>
    <dgm:pt modelId="{F2F6D778-D524-4949-9E1C-19A62163CC94}" type="pres">
      <dgm:prSet presAssocID="{383EC251-FD72-4435-B404-7104AD246CE2}" presName="Name37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1795292" y="0"/>
              </a:moveTo>
              <a:lnTo>
                <a:pt x="1795292" y="63516"/>
              </a:lnTo>
              <a:lnTo>
                <a:pt x="0" y="63516"/>
              </a:lnTo>
              <a:lnTo>
                <a:pt x="0" y="12703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993FE1E5-227C-4E3C-B8C5-B9EE09B1C4CF}" type="pres">
      <dgm:prSet presAssocID="{7B6B8A89-ADA4-48B1-B179-FE7022FBB79E}" presName="hierRoot2" presStyleCnt="0">
        <dgm:presLayoutVars>
          <dgm:hierBranch val="init"/>
        </dgm:presLayoutVars>
      </dgm:prSet>
      <dgm:spPr/>
    </dgm:pt>
    <dgm:pt modelId="{A5028967-21FA-46C7-9158-92A867412BAB}" type="pres">
      <dgm:prSet presAssocID="{7B6B8A89-ADA4-48B1-B179-FE7022FBB79E}" presName="rootComposite" presStyleCnt="0"/>
      <dgm:spPr/>
    </dgm:pt>
    <dgm:pt modelId="{41C612C4-DC4F-456C-80A0-B9C123B0CC08}" type="pres">
      <dgm:prSet presAssocID="{7B6B8A89-ADA4-48B1-B179-FE7022FBB79E}" presName="rootText" presStyleLbl="node2" presStyleIdx="0" presStyleCnt="3" custScaleX="38796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6B6213B-6881-44F6-8219-F1C115B3E421}" type="pres">
      <dgm:prSet presAssocID="{7B6B8A89-ADA4-48B1-B179-FE7022FBB79E}" presName="rootConnector" presStyleLbl="node2" presStyleIdx="0" presStyleCnt="3"/>
      <dgm:spPr/>
      <dgm:t>
        <a:bodyPr/>
        <a:lstStyle/>
        <a:p>
          <a:endParaRPr lang="ru-RU"/>
        </a:p>
      </dgm:t>
    </dgm:pt>
    <dgm:pt modelId="{8554EA05-0003-4CBB-A3CA-867747B90BDC}" type="pres">
      <dgm:prSet presAssocID="{7B6B8A89-ADA4-48B1-B179-FE7022FBB79E}" presName="hierChild4" presStyleCnt="0"/>
      <dgm:spPr/>
    </dgm:pt>
    <dgm:pt modelId="{75EAF7E4-1010-4B22-B0AC-7FE2373D5A77}" type="pres">
      <dgm:prSet presAssocID="{7B6B8A89-ADA4-48B1-B179-FE7022FBB79E}" presName="hierChild5" presStyleCnt="0"/>
      <dgm:spPr/>
    </dgm:pt>
    <dgm:pt modelId="{E8C58F18-C2EB-4F1B-91BC-A387A93A8511}" type="pres">
      <dgm:prSet presAssocID="{6D9A32E3-013C-44B2-9866-93053D01D18D}" presName="Name37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516"/>
              </a:lnTo>
              <a:lnTo>
                <a:pt x="341923" y="63516"/>
              </a:lnTo>
              <a:lnTo>
                <a:pt x="341923" y="12703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83C9341-1AB0-42DF-AAB2-FB9EC35DE112}" type="pres">
      <dgm:prSet presAssocID="{34EAD2DD-7B09-46A3-9629-DDF980792531}" presName="hierRoot2" presStyleCnt="0">
        <dgm:presLayoutVars>
          <dgm:hierBranch val="init"/>
        </dgm:presLayoutVars>
      </dgm:prSet>
      <dgm:spPr/>
    </dgm:pt>
    <dgm:pt modelId="{D6ACBFE9-EDE1-4955-9840-279D59769322}" type="pres">
      <dgm:prSet presAssocID="{34EAD2DD-7B09-46A3-9629-DDF980792531}" presName="rootComposite" presStyleCnt="0"/>
      <dgm:spPr/>
    </dgm:pt>
    <dgm:pt modelId="{4D1BF48C-E00B-48C5-BC7D-56002437C825}" type="pres">
      <dgm:prSet presAssocID="{34EAD2DD-7B09-46A3-9629-DDF980792531}" presName="rootText" presStyleLbl="node2" presStyleIdx="1" presStyleCnt="3" custScaleX="27664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DCE3454-E48E-4CBF-9D7D-D52DC6C6F0C2}" type="pres">
      <dgm:prSet presAssocID="{34EAD2DD-7B09-46A3-9629-DDF980792531}" presName="rootConnector" presStyleLbl="node2" presStyleIdx="1" presStyleCnt="3"/>
      <dgm:spPr/>
      <dgm:t>
        <a:bodyPr/>
        <a:lstStyle/>
        <a:p>
          <a:endParaRPr lang="ru-RU"/>
        </a:p>
      </dgm:t>
    </dgm:pt>
    <dgm:pt modelId="{952F5454-424D-4744-AE7A-95BFD7F725CD}" type="pres">
      <dgm:prSet presAssocID="{34EAD2DD-7B09-46A3-9629-DDF980792531}" presName="hierChild4" presStyleCnt="0"/>
      <dgm:spPr/>
    </dgm:pt>
    <dgm:pt modelId="{BF086868-45EF-41EE-97AE-D765FF8376C7}" type="pres">
      <dgm:prSet presAssocID="{34EAD2DD-7B09-46A3-9629-DDF980792531}" presName="hierChild5" presStyleCnt="0"/>
      <dgm:spPr/>
    </dgm:pt>
    <dgm:pt modelId="{28772E44-DE6C-4489-81F4-F64C48F505B4}" type="pres">
      <dgm:prSet presAssocID="{5BB0844D-1027-4D65-BD51-A181B339899C}" presName="Name37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516"/>
              </a:lnTo>
              <a:lnTo>
                <a:pt x="2137215" y="63516"/>
              </a:lnTo>
              <a:lnTo>
                <a:pt x="2137215" y="12703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5CC48A7-AB01-409A-9043-25D2B471B8F2}" type="pres">
      <dgm:prSet presAssocID="{F77B8E5B-E989-4601-90DE-5ABE578E5634}" presName="hierRoot2" presStyleCnt="0">
        <dgm:presLayoutVars>
          <dgm:hierBranch val="init"/>
        </dgm:presLayoutVars>
      </dgm:prSet>
      <dgm:spPr/>
    </dgm:pt>
    <dgm:pt modelId="{B3152872-8B47-4224-84A1-E9477F959735}" type="pres">
      <dgm:prSet presAssocID="{F77B8E5B-E989-4601-90DE-5ABE578E5634}" presName="rootComposite" presStyleCnt="0"/>
      <dgm:spPr/>
    </dgm:pt>
    <dgm:pt modelId="{6E2B589A-7E21-4756-BA09-1E5BEB8BB41E}" type="pres">
      <dgm:prSet presAssocID="{F77B8E5B-E989-4601-90DE-5ABE578E5634}" presName="rootText" presStyleLbl="node2" presStyleIdx="2" presStyleCnt="3" custScaleX="27491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EE4B73E6-446F-4135-BE72-12F9F57FC378}" type="pres">
      <dgm:prSet presAssocID="{F77B8E5B-E989-4601-90DE-5ABE578E5634}" presName="rootConnector" presStyleLbl="node2" presStyleIdx="2" presStyleCnt="3"/>
      <dgm:spPr/>
      <dgm:t>
        <a:bodyPr/>
        <a:lstStyle/>
        <a:p>
          <a:endParaRPr lang="ru-RU"/>
        </a:p>
      </dgm:t>
    </dgm:pt>
    <dgm:pt modelId="{23727B8D-DF29-4909-9387-AC51187ED89E}" type="pres">
      <dgm:prSet presAssocID="{F77B8E5B-E989-4601-90DE-5ABE578E5634}" presName="hierChild4" presStyleCnt="0"/>
      <dgm:spPr/>
    </dgm:pt>
    <dgm:pt modelId="{0C863367-AE58-4E20-BB7A-2F69AF11AFA4}" type="pres">
      <dgm:prSet presAssocID="{F77B8E5B-E989-4601-90DE-5ABE578E5634}" presName="hierChild5" presStyleCnt="0"/>
      <dgm:spPr/>
    </dgm:pt>
    <dgm:pt modelId="{B31CB57C-3858-467C-B9ED-DF0C7646DEF4}" type="pres">
      <dgm:prSet presAssocID="{F277C7FC-23AB-43B4-94B2-51E492B40CDA}" presName="hierChild3" presStyleCnt="0"/>
      <dgm:spPr/>
    </dgm:pt>
  </dgm:ptLst>
  <dgm:cxnLst>
    <dgm:cxn modelId="{9CB20F87-FA98-49D0-9B2D-53205E156125}" type="presOf" srcId="{7B6B8A89-ADA4-48B1-B179-FE7022FBB79E}" destId="{B6B6213B-6881-44F6-8219-F1C115B3E421}" srcOrd="1" destOrd="0" presId="urn:microsoft.com/office/officeart/2005/8/layout/orgChart1"/>
    <dgm:cxn modelId="{A68EA866-B190-4918-891E-57375F0DA60B}" type="presOf" srcId="{63DFFA35-EA88-45E8-9DA2-98B9FD151B23}" destId="{310B117A-BA85-4D42-8617-BE50C05ABBCD}" srcOrd="0" destOrd="0" presId="urn:microsoft.com/office/officeart/2005/8/layout/orgChart1"/>
    <dgm:cxn modelId="{49497EB3-7484-4B17-BDB4-812B38261E26}" type="presOf" srcId="{6D9A32E3-013C-44B2-9866-93053D01D18D}" destId="{E8C58F18-C2EB-4F1B-91BC-A387A93A8511}" srcOrd="0" destOrd="0" presId="urn:microsoft.com/office/officeart/2005/8/layout/orgChart1"/>
    <dgm:cxn modelId="{7D4BB695-BD20-42F0-B935-FFBA6E215C3F}" type="presOf" srcId="{F77B8E5B-E989-4601-90DE-5ABE578E5634}" destId="{EE4B73E6-446F-4135-BE72-12F9F57FC378}" srcOrd="1" destOrd="0" presId="urn:microsoft.com/office/officeart/2005/8/layout/orgChart1"/>
    <dgm:cxn modelId="{A237DB9E-B350-4AB8-A7F0-58E5D1849F73}" type="presOf" srcId="{34EAD2DD-7B09-46A3-9629-DDF980792531}" destId="{4D1BF48C-E00B-48C5-BC7D-56002437C825}" srcOrd="0" destOrd="0" presId="urn:microsoft.com/office/officeart/2005/8/layout/orgChart1"/>
    <dgm:cxn modelId="{0BF51675-D2C1-4AB9-867F-17ED0FB9FD6E}" srcId="{F277C7FC-23AB-43B4-94B2-51E492B40CDA}" destId="{F77B8E5B-E989-4601-90DE-5ABE578E5634}" srcOrd="2" destOrd="0" parTransId="{5BB0844D-1027-4D65-BD51-A181B339899C}" sibTransId="{5F6A672A-9B1B-44BF-B303-3181B9F7B29A}"/>
    <dgm:cxn modelId="{159A5687-801B-42DA-B6E8-6A8F59922A5A}" srcId="{F277C7FC-23AB-43B4-94B2-51E492B40CDA}" destId="{7B6B8A89-ADA4-48B1-B179-FE7022FBB79E}" srcOrd="0" destOrd="0" parTransId="{383EC251-FD72-4435-B404-7104AD246CE2}" sibTransId="{DB0CB74B-D0DC-4023-8CEE-CEBE3128085E}"/>
    <dgm:cxn modelId="{1DB9BCE9-FD00-4E41-B024-517F3183E5CF}" type="presOf" srcId="{34EAD2DD-7B09-46A3-9629-DDF980792531}" destId="{2DCE3454-E48E-4CBF-9D7D-D52DC6C6F0C2}" srcOrd="1" destOrd="0" presId="urn:microsoft.com/office/officeart/2005/8/layout/orgChart1"/>
    <dgm:cxn modelId="{7ABCE9E8-C05D-4CDB-9BD1-E3C65830AA53}" type="presOf" srcId="{7B6B8A89-ADA4-48B1-B179-FE7022FBB79E}" destId="{41C612C4-DC4F-456C-80A0-B9C123B0CC08}" srcOrd="0" destOrd="0" presId="urn:microsoft.com/office/officeart/2005/8/layout/orgChart1"/>
    <dgm:cxn modelId="{975A127F-324E-4A99-8BEF-306A60EF08B2}" type="presOf" srcId="{F277C7FC-23AB-43B4-94B2-51E492B40CDA}" destId="{A29E4B49-49F1-4536-AE19-96A269105AA9}" srcOrd="1" destOrd="0" presId="urn:microsoft.com/office/officeart/2005/8/layout/orgChart1"/>
    <dgm:cxn modelId="{7781987D-0816-4A33-A070-EEA05277084A}" type="presOf" srcId="{5BB0844D-1027-4D65-BD51-A181B339899C}" destId="{28772E44-DE6C-4489-81F4-F64C48F505B4}" srcOrd="0" destOrd="0" presId="urn:microsoft.com/office/officeart/2005/8/layout/orgChart1"/>
    <dgm:cxn modelId="{2D558069-2893-4B52-ADDE-7895F595C0A2}" type="presOf" srcId="{F277C7FC-23AB-43B4-94B2-51E492B40CDA}" destId="{AA7FD666-B55F-4E91-9B19-D44A6FE3BF76}" srcOrd="0" destOrd="0" presId="urn:microsoft.com/office/officeart/2005/8/layout/orgChart1"/>
    <dgm:cxn modelId="{E4DCD61D-C7EC-4962-9E08-42AF52FBE2BB}" srcId="{63DFFA35-EA88-45E8-9DA2-98B9FD151B23}" destId="{F277C7FC-23AB-43B4-94B2-51E492B40CDA}" srcOrd="0" destOrd="0" parTransId="{849EC91A-C586-4013-B52F-8927024B67DA}" sibTransId="{1E5288A4-DC58-45C2-B6E1-CCF13957039A}"/>
    <dgm:cxn modelId="{20F7AF83-1EDA-4328-9757-E0229819E54F}" type="presOf" srcId="{F77B8E5B-E989-4601-90DE-5ABE578E5634}" destId="{6E2B589A-7E21-4756-BA09-1E5BEB8BB41E}" srcOrd="0" destOrd="0" presId="urn:microsoft.com/office/officeart/2005/8/layout/orgChart1"/>
    <dgm:cxn modelId="{4DD49546-85E6-4513-A3B4-3187CF05B7F3}" type="presOf" srcId="{383EC251-FD72-4435-B404-7104AD246CE2}" destId="{F2F6D778-D524-4949-9E1C-19A62163CC94}" srcOrd="0" destOrd="0" presId="urn:microsoft.com/office/officeart/2005/8/layout/orgChart1"/>
    <dgm:cxn modelId="{176A4BCA-E862-4E5D-8F3A-83EE3E25D059}" srcId="{F277C7FC-23AB-43B4-94B2-51E492B40CDA}" destId="{34EAD2DD-7B09-46A3-9629-DDF980792531}" srcOrd="1" destOrd="0" parTransId="{6D9A32E3-013C-44B2-9866-93053D01D18D}" sibTransId="{9C8DFC6C-BBDB-4BD1-89A6-A9062652D34A}"/>
    <dgm:cxn modelId="{86AF3701-84DF-49D7-AAA7-14C991B7D340}" type="presParOf" srcId="{310B117A-BA85-4D42-8617-BE50C05ABBCD}" destId="{0E0F5CCA-8854-440C-BA7A-B9EB4D77B95F}" srcOrd="0" destOrd="0" presId="urn:microsoft.com/office/officeart/2005/8/layout/orgChart1"/>
    <dgm:cxn modelId="{604EDC58-61CA-48B5-B5EE-87371D6D562E}" type="presParOf" srcId="{0E0F5CCA-8854-440C-BA7A-B9EB4D77B95F}" destId="{02E795F7-8732-45B8-8CFA-1053ACF4CECE}" srcOrd="0" destOrd="0" presId="urn:microsoft.com/office/officeart/2005/8/layout/orgChart1"/>
    <dgm:cxn modelId="{0159D758-940A-4672-9B97-FA05D1019254}" type="presParOf" srcId="{02E795F7-8732-45B8-8CFA-1053ACF4CECE}" destId="{AA7FD666-B55F-4E91-9B19-D44A6FE3BF76}" srcOrd="0" destOrd="0" presId="urn:microsoft.com/office/officeart/2005/8/layout/orgChart1"/>
    <dgm:cxn modelId="{D58C8FF0-070B-4489-9FD8-B2A4722DD134}" type="presParOf" srcId="{02E795F7-8732-45B8-8CFA-1053ACF4CECE}" destId="{A29E4B49-49F1-4536-AE19-96A269105AA9}" srcOrd="1" destOrd="0" presId="urn:microsoft.com/office/officeart/2005/8/layout/orgChart1"/>
    <dgm:cxn modelId="{5AB286EE-A791-498B-BBCA-D94DA56D814E}" type="presParOf" srcId="{0E0F5CCA-8854-440C-BA7A-B9EB4D77B95F}" destId="{A2C36AA3-1D19-403A-A6F2-78CCFF340472}" srcOrd="1" destOrd="0" presId="urn:microsoft.com/office/officeart/2005/8/layout/orgChart1"/>
    <dgm:cxn modelId="{D8723FB4-573D-499C-9434-E215D87D2A60}" type="presParOf" srcId="{A2C36AA3-1D19-403A-A6F2-78CCFF340472}" destId="{F2F6D778-D524-4949-9E1C-19A62163CC94}" srcOrd="0" destOrd="0" presId="urn:microsoft.com/office/officeart/2005/8/layout/orgChart1"/>
    <dgm:cxn modelId="{60DAE8D1-FA2D-4D68-8A1D-F5E6D69D6391}" type="presParOf" srcId="{A2C36AA3-1D19-403A-A6F2-78CCFF340472}" destId="{993FE1E5-227C-4E3C-B8C5-B9EE09B1C4CF}" srcOrd="1" destOrd="0" presId="urn:microsoft.com/office/officeart/2005/8/layout/orgChart1"/>
    <dgm:cxn modelId="{A97D6B7F-F6E9-4C73-BBBF-691BAEAD24C6}" type="presParOf" srcId="{993FE1E5-227C-4E3C-B8C5-B9EE09B1C4CF}" destId="{A5028967-21FA-46C7-9158-92A867412BAB}" srcOrd="0" destOrd="0" presId="urn:microsoft.com/office/officeart/2005/8/layout/orgChart1"/>
    <dgm:cxn modelId="{DF4EF96C-A4C5-4B46-9EE6-D62C5624002A}" type="presParOf" srcId="{A5028967-21FA-46C7-9158-92A867412BAB}" destId="{41C612C4-DC4F-456C-80A0-B9C123B0CC08}" srcOrd="0" destOrd="0" presId="urn:microsoft.com/office/officeart/2005/8/layout/orgChart1"/>
    <dgm:cxn modelId="{F6D37377-D431-4375-B5BF-CCD340B582C4}" type="presParOf" srcId="{A5028967-21FA-46C7-9158-92A867412BAB}" destId="{B6B6213B-6881-44F6-8219-F1C115B3E421}" srcOrd="1" destOrd="0" presId="urn:microsoft.com/office/officeart/2005/8/layout/orgChart1"/>
    <dgm:cxn modelId="{A82BC16D-0F51-4C69-B336-2A1D1B588D56}" type="presParOf" srcId="{993FE1E5-227C-4E3C-B8C5-B9EE09B1C4CF}" destId="{8554EA05-0003-4CBB-A3CA-867747B90BDC}" srcOrd="1" destOrd="0" presId="urn:microsoft.com/office/officeart/2005/8/layout/orgChart1"/>
    <dgm:cxn modelId="{D93E6B9D-BDA8-4DF7-92A6-DB68FFDE4FCA}" type="presParOf" srcId="{993FE1E5-227C-4E3C-B8C5-B9EE09B1C4CF}" destId="{75EAF7E4-1010-4B22-B0AC-7FE2373D5A77}" srcOrd="2" destOrd="0" presId="urn:microsoft.com/office/officeart/2005/8/layout/orgChart1"/>
    <dgm:cxn modelId="{6642C124-8C88-4DC8-A764-FBD0C7FCF0DF}" type="presParOf" srcId="{A2C36AA3-1D19-403A-A6F2-78CCFF340472}" destId="{E8C58F18-C2EB-4F1B-91BC-A387A93A8511}" srcOrd="2" destOrd="0" presId="urn:microsoft.com/office/officeart/2005/8/layout/orgChart1"/>
    <dgm:cxn modelId="{4BE585E3-8D71-41EB-BE17-22DD045D3376}" type="presParOf" srcId="{A2C36AA3-1D19-403A-A6F2-78CCFF340472}" destId="{F83C9341-1AB0-42DF-AAB2-FB9EC35DE112}" srcOrd="3" destOrd="0" presId="urn:microsoft.com/office/officeart/2005/8/layout/orgChart1"/>
    <dgm:cxn modelId="{755E3C7F-836D-47F0-9BD0-EA885498E8FA}" type="presParOf" srcId="{F83C9341-1AB0-42DF-AAB2-FB9EC35DE112}" destId="{D6ACBFE9-EDE1-4955-9840-279D59769322}" srcOrd="0" destOrd="0" presId="urn:microsoft.com/office/officeart/2005/8/layout/orgChart1"/>
    <dgm:cxn modelId="{BC3C77DD-E7C8-4C09-9A45-FA3EB7980D88}" type="presParOf" srcId="{D6ACBFE9-EDE1-4955-9840-279D59769322}" destId="{4D1BF48C-E00B-48C5-BC7D-56002437C825}" srcOrd="0" destOrd="0" presId="urn:microsoft.com/office/officeart/2005/8/layout/orgChart1"/>
    <dgm:cxn modelId="{F9EBBD3B-C58F-4C59-AD2E-A67A0F6569B4}" type="presParOf" srcId="{D6ACBFE9-EDE1-4955-9840-279D59769322}" destId="{2DCE3454-E48E-4CBF-9D7D-D52DC6C6F0C2}" srcOrd="1" destOrd="0" presId="urn:microsoft.com/office/officeart/2005/8/layout/orgChart1"/>
    <dgm:cxn modelId="{1C0E9081-9DAC-4507-B155-CD9C237D8921}" type="presParOf" srcId="{F83C9341-1AB0-42DF-AAB2-FB9EC35DE112}" destId="{952F5454-424D-4744-AE7A-95BFD7F725CD}" srcOrd="1" destOrd="0" presId="urn:microsoft.com/office/officeart/2005/8/layout/orgChart1"/>
    <dgm:cxn modelId="{CEEAA532-8A9E-417E-AD8B-C490576748DB}" type="presParOf" srcId="{F83C9341-1AB0-42DF-AAB2-FB9EC35DE112}" destId="{BF086868-45EF-41EE-97AE-D765FF8376C7}" srcOrd="2" destOrd="0" presId="urn:microsoft.com/office/officeart/2005/8/layout/orgChart1"/>
    <dgm:cxn modelId="{497BBBD5-8B3A-4D63-8416-2D525F9CBAE4}" type="presParOf" srcId="{A2C36AA3-1D19-403A-A6F2-78CCFF340472}" destId="{28772E44-DE6C-4489-81F4-F64C48F505B4}" srcOrd="4" destOrd="0" presId="urn:microsoft.com/office/officeart/2005/8/layout/orgChart1"/>
    <dgm:cxn modelId="{B01E82E4-45D8-4B75-B390-95D9E142F51C}" type="presParOf" srcId="{A2C36AA3-1D19-403A-A6F2-78CCFF340472}" destId="{85CC48A7-AB01-409A-9043-25D2B471B8F2}" srcOrd="5" destOrd="0" presId="urn:microsoft.com/office/officeart/2005/8/layout/orgChart1"/>
    <dgm:cxn modelId="{FB456987-8CA4-4291-A517-E7BE05AB2E75}" type="presParOf" srcId="{85CC48A7-AB01-409A-9043-25D2B471B8F2}" destId="{B3152872-8B47-4224-84A1-E9477F959735}" srcOrd="0" destOrd="0" presId="urn:microsoft.com/office/officeart/2005/8/layout/orgChart1"/>
    <dgm:cxn modelId="{40A52EC9-C280-485F-9C4E-8907B90B5E88}" type="presParOf" srcId="{B3152872-8B47-4224-84A1-E9477F959735}" destId="{6E2B589A-7E21-4756-BA09-1E5BEB8BB41E}" srcOrd="0" destOrd="0" presId="urn:microsoft.com/office/officeart/2005/8/layout/orgChart1"/>
    <dgm:cxn modelId="{D758F083-9558-460A-8294-747D01858F40}" type="presParOf" srcId="{B3152872-8B47-4224-84A1-E9477F959735}" destId="{EE4B73E6-446F-4135-BE72-12F9F57FC378}" srcOrd="1" destOrd="0" presId="urn:microsoft.com/office/officeart/2005/8/layout/orgChart1"/>
    <dgm:cxn modelId="{20EA17C3-6321-4534-A146-E78CF1D0D050}" type="presParOf" srcId="{85CC48A7-AB01-409A-9043-25D2B471B8F2}" destId="{23727B8D-DF29-4909-9387-AC51187ED89E}" srcOrd="1" destOrd="0" presId="urn:microsoft.com/office/officeart/2005/8/layout/orgChart1"/>
    <dgm:cxn modelId="{F29E9A90-3B12-422A-ACC6-BA2FE2343BB9}" type="presParOf" srcId="{85CC48A7-AB01-409A-9043-25D2B471B8F2}" destId="{0C863367-AE58-4E20-BB7A-2F69AF11AFA4}" srcOrd="2" destOrd="0" presId="urn:microsoft.com/office/officeart/2005/8/layout/orgChart1"/>
    <dgm:cxn modelId="{D1BE817E-A3B1-47D7-A052-E0A21BD80E84}" type="presParOf" srcId="{0E0F5CCA-8854-440C-BA7A-B9EB4D77B95F}" destId="{B31CB57C-3858-467C-B9ED-DF0C7646DEF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772E44-DE6C-4489-81F4-F64C48F505B4}">
      <dsp:nvSpPr>
        <dsp:cNvPr id="0" name=""/>
        <dsp:cNvSpPr/>
      </dsp:nvSpPr>
      <dsp:spPr>
        <a:xfrm>
          <a:off x="3009900" y="207849"/>
          <a:ext cx="2164615" cy="1286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516"/>
              </a:lnTo>
              <a:lnTo>
                <a:pt x="2137215" y="63516"/>
              </a:lnTo>
              <a:lnTo>
                <a:pt x="2137215" y="127032"/>
              </a:lnTo>
            </a:path>
          </a:pathLst>
        </a:custGeom>
        <a:noFill/>
        <a:ln w="9525" cap="flat" cmpd="sng" algn="ctr">
          <a:solidFill>
            <a:sysClr val="windowText" lastClr="000000">
              <a:shade val="95000"/>
              <a:satMod val="105000"/>
            </a:sysClr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E8C58F18-C2EB-4F1B-91BC-A387A93A8511}">
      <dsp:nvSpPr>
        <dsp:cNvPr id="0" name=""/>
        <dsp:cNvSpPr/>
      </dsp:nvSpPr>
      <dsp:spPr>
        <a:xfrm>
          <a:off x="3009900" y="207849"/>
          <a:ext cx="346306" cy="1286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516"/>
              </a:lnTo>
              <a:lnTo>
                <a:pt x="341923" y="63516"/>
              </a:lnTo>
              <a:lnTo>
                <a:pt x="341923" y="127032"/>
              </a:lnTo>
            </a:path>
          </a:pathLst>
        </a:custGeom>
        <a:noFill/>
        <a:ln w="9525" cap="flat" cmpd="sng" algn="ctr">
          <a:solidFill>
            <a:sysClr val="windowText" lastClr="000000">
              <a:shade val="95000"/>
              <a:satMod val="105000"/>
            </a:sysClr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F2F6D778-D524-4949-9E1C-19A62163CC94}">
      <dsp:nvSpPr>
        <dsp:cNvPr id="0" name=""/>
        <dsp:cNvSpPr/>
      </dsp:nvSpPr>
      <dsp:spPr>
        <a:xfrm>
          <a:off x="1191590" y="207849"/>
          <a:ext cx="1818309" cy="128661"/>
        </a:xfrm>
        <a:custGeom>
          <a:avLst/>
          <a:gdLst/>
          <a:ahLst/>
          <a:cxnLst/>
          <a:rect l="0" t="0" r="0" b="0"/>
          <a:pathLst>
            <a:path>
              <a:moveTo>
                <a:pt x="1795292" y="0"/>
              </a:moveTo>
              <a:lnTo>
                <a:pt x="1795292" y="63516"/>
              </a:lnTo>
              <a:lnTo>
                <a:pt x="0" y="63516"/>
              </a:lnTo>
              <a:lnTo>
                <a:pt x="0" y="127032"/>
              </a:lnTo>
            </a:path>
          </a:pathLst>
        </a:custGeom>
        <a:noFill/>
        <a:ln w="9525" cap="flat" cmpd="sng" algn="ctr">
          <a:solidFill>
            <a:sysClr val="windowText" lastClr="000000">
              <a:shade val="95000"/>
              <a:satMod val="105000"/>
            </a:sysClr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AA7FD666-B55F-4E91-9B19-D44A6FE3BF76}">
      <dsp:nvSpPr>
        <dsp:cNvPr id="0" name=""/>
        <dsp:cNvSpPr/>
      </dsp:nvSpPr>
      <dsp:spPr>
        <a:xfrm>
          <a:off x="1919285" y="62003"/>
          <a:ext cx="2181228" cy="14584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Функции биржевого индекса </a:t>
          </a:r>
        </a:p>
      </dsp:txBody>
      <dsp:txXfrm>
        <a:off x="1919285" y="62003"/>
        <a:ext cx="2181228" cy="145846"/>
      </dsp:txXfrm>
    </dsp:sp>
    <dsp:sp modelId="{41C612C4-DC4F-456C-80A0-B9C123B0CC08}">
      <dsp:nvSpPr>
        <dsp:cNvPr id="0" name=""/>
        <dsp:cNvSpPr/>
      </dsp:nvSpPr>
      <dsp:spPr>
        <a:xfrm>
          <a:off x="3108" y="336510"/>
          <a:ext cx="2376964" cy="306335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Диагностическая</a:t>
          </a:r>
        </a:p>
      </dsp:txBody>
      <dsp:txXfrm>
        <a:off x="3108" y="336510"/>
        <a:ext cx="2376964" cy="306335"/>
      </dsp:txXfrm>
    </dsp:sp>
    <dsp:sp modelId="{4D1BF48C-E00B-48C5-BC7D-56002437C825}">
      <dsp:nvSpPr>
        <dsp:cNvPr id="0" name=""/>
        <dsp:cNvSpPr/>
      </dsp:nvSpPr>
      <dsp:spPr>
        <a:xfrm>
          <a:off x="2508734" y="336510"/>
          <a:ext cx="1694944" cy="306335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Индикативная</a:t>
          </a:r>
        </a:p>
      </dsp:txBody>
      <dsp:txXfrm>
        <a:off x="2508734" y="336510"/>
        <a:ext cx="1694944" cy="306335"/>
      </dsp:txXfrm>
    </dsp:sp>
    <dsp:sp modelId="{6E2B589A-7E21-4756-BA09-1E5BEB8BB41E}">
      <dsp:nvSpPr>
        <dsp:cNvPr id="0" name=""/>
        <dsp:cNvSpPr/>
      </dsp:nvSpPr>
      <dsp:spPr>
        <a:xfrm>
          <a:off x="4332340" y="336510"/>
          <a:ext cx="1684351" cy="306335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Спекулятивная</a:t>
          </a:r>
        </a:p>
      </dsp:txBody>
      <dsp:txXfrm>
        <a:off x="4332340" y="336510"/>
        <a:ext cx="1684351" cy="3063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Kalmakova</dc:creator>
  <cp:keywords/>
  <dc:description/>
  <cp:lastModifiedBy>Dinara Kalmakova</cp:lastModifiedBy>
  <cp:revision>12</cp:revision>
  <dcterms:created xsi:type="dcterms:W3CDTF">2017-06-19T15:18:00Z</dcterms:created>
  <dcterms:modified xsi:type="dcterms:W3CDTF">2017-06-19T17:29:00Z</dcterms:modified>
</cp:coreProperties>
</file>